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22.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BlockText"/>
      </w:pPr>
      <w:r>
        <w:t xml:space="preserve">The</w:t>
      </w:r>
      <w:r>
        <w:t xml:space="preserve"> </w:t>
      </w:r>
      <w:r>
        <w:t xml:space="preserve">notebook</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single</w:t>
      </w:r>
      <w:r>
        <w:t xml:space="preserve"> </w:t>
      </w:r>
      <w:r>
        <w:t xml:space="preserve">markdown</w:t>
      </w:r>
      <w:r>
        <w:t xml:space="preserve"> </w:t>
      </w:r>
      <w:r>
        <w:t xml:space="preserve">cell</w:t>
      </w:r>
      <w:r>
        <w:t xml:space="preserve"> </w:t>
      </w:r>
      <w:r>
        <w:t xml:space="preserve">which</w:t>
      </w:r>
      <w:r>
        <w:t xml:space="preserve"> </w:t>
      </w:r>
      <w:r>
        <w:t xml:space="preserve">contains</w:t>
      </w:r>
      <w:r>
        <w:t xml:space="preserve"> </w:t>
      </w:r>
      <w:r>
        <w:t xml:space="preserve">document</w:t>
      </w:r>
      <w:r>
        <w:t xml:space="preserve"> </w:t>
      </w:r>
      <w:r>
        <w:t xml:space="preserve">front</w:t>
      </w:r>
      <w:r>
        <w:t xml:space="preserve"> </w:t>
      </w:r>
      <w:r>
        <w:t xml:space="preserve">matter</w:t>
      </w:r>
      <w:r>
        <w:t xml:space="preserve"> </w:t>
      </w:r>
      <w:r>
        <w:t xml:space="preserve">(such</w:t>
      </w:r>
      <w:r>
        <w:t xml:space="preserve"> </w:t>
      </w:r>
      <w:r>
        <w:t xml:space="preserve">as</w:t>
      </w:r>
      <w:r>
        <w:t xml:space="preserve"> </w:t>
      </w:r>
      <w:r>
        <w:t xml:space="preserve">the</w:t>
      </w:r>
      <w:r>
        <w:t xml:space="preserve"> </w:t>
      </w:r>
      <w:r>
        <w:t xml:space="preserve">title,</w:t>
      </w:r>
      <w:r>
        <w:t xml:space="preserve"> </w:t>
      </w:r>
      <w:r>
        <w:t xml:space="preserve">author</w:t>
      </w:r>
      <w:r>
        <w:t xml:space="preserve"> </w:t>
      </w:r>
      <w:r>
        <w:t xml:space="preserve">data,</w:t>
      </w:r>
      <w:r>
        <w:t xml:space="preserve"> </w:t>
      </w:r>
      <w:r>
        <w:t xml:space="preserve">license,</w:t>
      </w:r>
      <w:r>
        <w:t xml:space="preserve"> </w:t>
      </w:r>
      <w:r>
        <w:t xml:space="preserve">abstract,</w:t>
      </w:r>
      <w:r>
        <w:t xml:space="preserve"> </w:t>
      </w:r>
      <w:r>
        <w:t xml:space="preserve">and</w:t>
      </w:r>
      <w:r>
        <w:t xml:space="preserve"> </w:t>
      </w:r>
      <w:r>
        <w:t xml:space="preserve">more).</w:t>
      </w:r>
    </w:p>
    <w:p>
      <w:pPr>
        <w:pStyle w:val="BlockText"/>
      </w:pPr>
      <w:r>
        <w:t xml:space="preserve">The</w:t>
      </w:r>
      <w:r>
        <w:t xml:space="preserve"> </w:t>
      </w:r>
      <w:r>
        <w:t xml:space="preserve">abstract</w:t>
      </w:r>
      <w:r>
        <w:t xml:space="preserve"> </w:t>
      </w:r>
      <w:r>
        <w:t xml:space="preserve">should</w:t>
      </w:r>
      <w:r>
        <w:t xml:space="preserve"> </w:t>
      </w:r>
      <w:r>
        <w:t xml:space="preserve">begin</w:t>
      </w:r>
      <w:r>
        <w:t xml:space="preserve"> </w:t>
      </w:r>
      <w:r>
        <w:t xml:space="preserve">with</w:t>
      </w:r>
      <w:r>
        <w:t xml:space="preserve"> </w:t>
      </w:r>
      <w:r>
        <w:t xml:space="preserve">a</w:t>
      </w:r>
      <w:r>
        <w:t xml:space="preserve"> </w:t>
      </w:r>
      <w:r>
        <w:t xml:space="preserve">short</w:t>
      </w:r>
      <w:r>
        <w:t xml:space="preserve"> </w:t>
      </w:r>
      <w:r>
        <w:t xml:space="preserve">description</w:t>
      </w:r>
      <w:r>
        <w:t xml:space="preserve"> </w:t>
      </w:r>
      <w:r>
        <w:t xml:space="preserve">of</w:t>
      </w:r>
      <w:r>
        <w:t xml:space="preserve"> </w:t>
      </w:r>
      <w:r>
        <w:t xml:space="preserve">the</w:t>
      </w:r>
      <w:r>
        <w:t xml:space="preserve"> </w:t>
      </w:r>
      <w:r>
        <w:t xml:space="preserve">problem</w:t>
      </w:r>
      <w:r>
        <w:t xml:space="preserve"> </w:t>
      </w:r>
      <w:r>
        <w:t xml:space="preserve">addressed,</w:t>
      </w:r>
      <w:r>
        <w:t xml:space="preserve"> </w:t>
      </w:r>
      <w:r>
        <w:t xml:space="preserve">briefly</w:t>
      </w:r>
      <w:r>
        <w:t xml:space="preserve"> </w:t>
      </w:r>
      <w:r>
        <w:t xml:space="preserve">describe</w:t>
      </w:r>
      <w:r>
        <w:t xml:space="preserve"> </w:t>
      </w:r>
      <w:r>
        <w:t xml:space="preserve">the</w:t>
      </w:r>
      <w:r>
        <w:t xml:space="preserve"> </w:t>
      </w:r>
      <w:r>
        <w:t xml:space="preserve">new</w:t>
      </w:r>
      <w:r>
        <w:t xml:space="preserve"> </w:t>
      </w:r>
      <w:r>
        <w:t xml:space="preserve">data</w:t>
      </w:r>
      <w:r>
        <w:t xml:space="preserve"> </w:t>
      </w:r>
      <w:r>
        <w:t xml:space="preserve">or</w:t>
      </w:r>
      <w:r>
        <w:t xml:space="preserve"> </w:t>
      </w:r>
      <w:r>
        <w:t xml:space="preserve">analyses,</w:t>
      </w:r>
      <w:r>
        <w:t xml:space="preserve"> </w:t>
      </w:r>
      <w:r>
        <w:t xml:space="preserve">then</w:t>
      </w:r>
      <w:r>
        <w:t xml:space="preserve"> </w:t>
      </w:r>
      <w:r>
        <w:t xml:space="preserve">briefly</w:t>
      </w:r>
      <w:r>
        <w:t xml:space="preserve"> </w:t>
      </w:r>
      <w:r>
        <w:t xml:space="preserve">state</w:t>
      </w:r>
      <w:r>
        <w:t xml:space="preserve"> </w:t>
      </w:r>
      <w:r>
        <w:t xml:space="preserve">the</w:t>
      </w:r>
      <w:r>
        <w:t xml:space="preserve"> </w:t>
      </w:r>
      <w:r>
        <w:t xml:space="preserve">main</w:t>
      </w:r>
      <w:r>
        <w:t xml:space="preserve"> </w:t>
      </w:r>
      <w:r>
        <w:t xml:space="preserve">conclusion(s)</w:t>
      </w:r>
      <w:r>
        <w:t xml:space="preserve"> </w:t>
      </w:r>
      <w:r>
        <w:t xml:space="preserve">and</w:t>
      </w:r>
      <w:r>
        <w:t xml:space="preserve"> </w:t>
      </w:r>
      <w:r>
        <w:t xml:space="preserve">how</w:t>
      </w:r>
      <w:r>
        <w:t xml:space="preserve"> </w:t>
      </w:r>
      <w:r>
        <w:t xml:space="preserve">they</w:t>
      </w:r>
      <w:r>
        <w:t xml:space="preserve"> </w:t>
      </w:r>
      <w:r>
        <w:t xml:space="preserve">are</w:t>
      </w:r>
      <w:r>
        <w:t xml:space="preserve"> </w:t>
      </w:r>
      <w:r>
        <w:t xml:space="preserve">supported,</w:t>
      </w:r>
      <w:r>
        <w:t xml:space="preserve"> </w:t>
      </w:r>
      <w:r>
        <w:t xml:space="preserve">and</w:t>
      </w:r>
      <w:r>
        <w:t xml:space="preserve"> </w:t>
      </w:r>
      <w:r>
        <w:t xml:space="preserve">address</w:t>
      </w:r>
      <w:r>
        <w:t xml:space="preserve"> </w:t>
      </w:r>
      <w:r>
        <w:t xml:space="preserve">any</w:t>
      </w:r>
      <w:r>
        <w:t xml:space="preserve"> </w:t>
      </w:r>
      <w:r>
        <w:t xml:space="preserve">uncertainty.</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9" w:name="introduction"/>
    <w:p>
      <w:pPr>
        <w:pStyle w:val="Heading2"/>
      </w:pPr>
      <w:r>
        <w:t xml:space="preserve">Introduction</w:t>
      </w:r>
    </w:p>
    <w:p>
      <w:pPr>
        <w:pStyle w:val="BlockText"/>
      </w:pPr>
      <w:r>
        <w:t xml:space="preserve">The content of your notebook may be broken into any number of markdown or code cells. Markdown cells use Quarto markdown. Quarto markdown supports an extended version of the basic Markdown syntax originally created by John Gruber, which adds support for many common document elements including citations, figures, tables, admonitions, and more. Quarto markdown also supports the use of LaTeX for mathematical equations, advanced layout control, as well as other advanced formatting.</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p>
      <w:pPr>
        <w:pStyle w:val="BlockText"/>
      </w:pPr>
      <w:r>
        <w:t xml:space="preserve">Figures may be added to your notebook using</w:t>
      </w:r>
      <w:r>
        <w:t xml:space="preserve"> </w:t>
      </w:r>
      <w:hyperlink r:id="rId20">
        <w:r>
          <w:rPr>
            <w:rStyle w:val="Hyperlink"/>
          </w:rPr>
          <w:t xml:space="preserve">markdown images or specifial markdown elements</w:t>
        </w:r>
      </w:hyperlink>
      <w:r>
        <w:t xml:space="preserve"> </w:t>
      </w:r>
      <w:r>
        <w:t xml:space="preserve">(</w:t>
      </w:r>
      <w:r>
        <w:t xml:space="preserve">‘</w:t>
      </w:r>
      <w:r>
        <w:t xml:space="preserve">fenced divs</w:t>
      </w:r>
      <w:r>
        <w:t xml:space="preserve">’</w:t>
      </w:r>
      <w:r>
        <w:t xml:space="preserve">). They may refer to images saved in your</w:t>
      </w:r>
      <w:r>
        <w:t xml:space="preserve"> </w:t>
      </w:r>
      <w:r>
        <w:rPr>
          <w:rStyle w:val="VerbatimChar"/>
        </w:rPr>
        <w:t xml:space="preserve">images/</w:t>
      </w:r>
      <w:r>
        <w:t xml:space="preserve"> </w:t>
      </w:r>
      <w:r>
        <w:t xml:space="preserve">folder (or other folders), images from the web, or generated directly using code cells. You may embed figures produced in other notebooks using the</w:t>
      </w:r>
      <w:r>
        <w:t xml:space="preserve"> </w:t>
      </w:r>
      <w:hyperlink r:id="rId21">
        <w:r>
          <w:rPr>
            <w:rStyle w:val="Hyperlink"/>
          </w:rPr>
          <w:t xml:space="preserve">embed shortcode</w:t>
        </w:r>
      </w:hyperlink>
      <w:r>
        <w:t xml:space="preserve"> </w:t>
      </w:r>
      <w:r>
        <w:t xml:space="preserve">(this embed figures, tables, or any other content from Jupyter Notebooks). Refer to figures by their label (e.g. </w:t>
      </w:r>
      <w:r>
        <w:rPr>
          <w:rStyle w:val="VerbatimChar"/>
        </w:rPr>
        <w:t xml:space="preserve">@fig-map</w:t>
      </w:r>
      <w:r>
        <w:t xml:space="preserve">).</w:t>
      </w:r>
    </w:p>
    <w:tbl>
      <w:tblPr>
        <w:tblStyle w:val="Table"/>
        <w:tblW w:type="pct" w:w="5000"/>
        <w:tblLook w:firstRow="0" w:lastRow="0" w:firstColumn="0" w:lastColumn="0" w:noHBand="0" w:noVBand="0" w:val="0000"/>
        <w:jc w:val="start"/>
      </w:tblPr>
      <w:tblGrid>
        <w:gridCol w:w="7920"/>
      </w:tblGrid>
      <w:tr>
        <w:tc>
          <w:tcPr/>
          <w:bookmarkStart w:id="26" w:name="fig-map"/>
          <w:p>
            <w:pPr>
              <w:jc w:val="center"/>
            </w:pPr>
            <w:r>
              <w:drawing>
                <wp:inline>
                  <wp:extent cx="5334000" cy="2369740"/>
                  <wp:effectExtent b="0" l="0" r="0" t="0"/>
                  <wp:docPr descr="" title="" id="23" name="Picture"/>
                  <a:graphic>
                    <a:graphicData uri="http://schemas.openxmlformats.org/drawingml/2006/picture">
                      <pic:pic>
                        <pic:nvPicPr>
                          <pic:cNvPr descr="images/la-palma-map.png" id="24" name="Picture"/>
                          <pic:cNvPicPr>
                            <a:picLocks noChangeArrowheads="1" noChangeAspect="1"/>
                          </pic:cNvPicPr>
                        </pic:nvPicPr>
                        <pic:blipFill>
                          <a:blip r:embed="rId22"/>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5">
              <w:r>
                <w:rPr>
                  <w:rStyle w:val="Hyperlink"/>
                </w:rPr>
                <w:t xml:space="preserve">NordNordWest</w:t>
              </w:r>
            </w:hyperlink>
          </w:p>
          <w:bookmarkEnd w:id="26"/>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32"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p>
      <w:pPr>
        <w:pStyle w:val="BlockText"/>
      </w:pPr>
      <w:r>
        <w:t xml:space="preserve">Quarto supports a number of ways to create tables using both standard markdown tables (pipe tables) and more complex markdown tables using a grid style syntax (grid tables). In addition, Quarto provides the ability to control column width, caption position, create subtables, and more. See</w:t>
      </w:r>
      <w:r>
        <w:t xml:space="preserve"> </w:t>
      </w:r>
      <w:hyperlink r:id="rId27">
        <w:r>
          <w:rPr>
            <w:rStyle w:val="Hyperlink"/>
          </w:rPr>
          <w:t xml:space="preserve">Quarto’s table document</w:t>
        </w:r>
      </w:hyperlink>
      <w:r>
        <w:t xml:space="preserve"> </w:t>
      </w:r>
      <w:r>
        <w:t xml:space="preserve">to learn more. Refer to tables in the text by their label (e.g. </w:t>
      </w:r>
      <w:r>
        <w:rPr>
          <w:rStyle w:val="VerbatimChar"/>
        </w:rPr>
        <w:t xml:space="preserve">@tbl-history</w:t>
      </w:r>
      <w:r>
        <w:t xml:space="preserve">).</w:t>
      </w:r>
    </w:p>
    <w:bookmarkStart w:id="28"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8"/>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lockText"/>
      </w:pPr>
      <w:r>
        <w:t xml:space="preserve">Numbered equations may be defined using</w:t>
      </w:r>
      <w:r>
        <w:t xml:space="preserve"> </w:t>
      </w:r>
      <w:r>
        <w:t xml:space="preserve">‘</w:t>
      </w:r>
      <w:r>
        <w:t xml:space="preserve">dollar math</w:t>
      </w:r>
      <w:r>
        <w:t xml:space="preserve">’</w:t>
      </w:r>
      <w:r>
        <w:t xml:space="preserve"> </w:t>
      </w:r>
      <w:r>
        <w:t xml:space="preserve">by placing equations between matching pairs of dollar signs. Learn more about Quarto’s equation here:</w:t>
      </w:r>
      <w:r>
        <w:t xml:space="preserve"> </w:t>
      </w:r>
      <w:hyperlink r:id="rId29">
        <w:r>
          <w:rPr>
            <w:rStyle w:val="Hyperlink"/>
          </w:rPr>
          <w:t xml:space="preserve">https://quarto.org/docs/authoring/cross-references.html#equations</w:t>
        </w:r>
      </w:hyperlink>
      <w:r>
        <w:t xml:space="preserve">. Refer to equations in the text by their label (e.g. </w:t>
      </w:r>
      <w:r>
        <w:rPr>
          <w:rStyle w:val="VerbatimChar"/>
        </w:rPr>
        <w:t xml:space="preserve">@eq-poisson</w:t>
      </w:r>
      <w:r>
        <w:t xml:space="preserve">).</w:t>
      </w:r>
    </w:p>
    <w:p>
      <w:pPr>
        <w:pStyle w:val="FirstParagraph"/>
      </w:pPr>
      <w:bookmarkStart w:id="30"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30"/>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31"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31"/>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32"/>
    <w:bookmarkStart w:id="38" w:name="magma-reservoirs"/>
    <w:p>
      <w:pPr>
        <w:pStyle w:val="Heading3"/>
      </w:pPr>
      <w:r>
        <w:t xml:space="preserve">Magma Reservoirs</w:t>
      </w:r>
    </w:p>
    <w:p>
      <w:pPr>
        <w:pStyle w:val="BlockText"/>
      </w:pPr>
      <w:r>
        <w:t xml:space="preserve">You may provide the bibliography directly as a bibtex, biblatex, CSL JSON, or CSL YAML file (defined in the document front matter or</w:t>
      </w:r>
      <w:r>
        <w:t xml:space="preserve"> </w:t>
      </w:r>
      <w:r>
        <w:rPr>
          <w:rStyle w:val="VerbatimChar"/>
        </w:rPr>
        <w:t xml:space="preserve">_quarto.yml</w:t>
      </w:r>
      <w:r>
        <w:t xml:space="preserve"> </w:t>
      </w:r>
      <w:r>
        <w:t xml:space="preserve">project file) then embed the citation by citation key in your text using the</w:t>
      </w:r>
      <w:r>
        <w:t xml:space="preserve"> </w:t>
      </w:r>
      <w:r>
        <w:rPr>
          <w:rStyle w:val="VerbatimChar"/>
        </w:rPr>
        <w:t xml:space="preserve">[@cite]</w:t>
      </w:r>
      <w:r>
        <w:t xml:space="preserve"> </w:t>
      </w:r>
      <w:r>
        <w:t xml:space="preserve">or</w:t>
      </w:r>
      <w:r>
        <w:t xml:space="preserve"> </w:t>
      </w:r>
      <w:r>
        <w:rPr>
          <w:rStyle w:val="VerbatimChar"/>
        </w:rPr>
        <w:t xml:space="preserve">@cite</w:t>
      </w:r>
      <w:r>
        <w:t xml:space="preserve"> </w:t>
      </w:r>
      <w:r>
        <w:t xml:space="preserve">for parenthetical or textual citations, respectively. The following paragraph provides an example of this. Quarto’s</w:t>
      </w:r>
      <w:r>
        <w:t xml:space="preserve"> </w:t>
      </w:r>
      <w:hyperlink r:id="rId33">
        <w:r>
          <w:rPr>
            <w:rStyle w:val="Hyperlink"/>
          </w:rPr>
          <w:t xml:space="preserve">documentation on citations</w:t>
        </w:r>
      </w:hyperlink>
      <w:r>
        <w:t xml:space="preserve"> </w:t>
      </w:r>
      <w:r>
        <w:t xml:space="preserve">provides more details on working with bibliographies and citations.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Pr>
      <w:tblGrid>
        <w:gridCol w:w="7920"/>
      </w:tblGrid>
      <w:tr>
        <w:tc>
          <w:tcPr/>
          <w:bookmarkStart w:id="37" w:name="fig-reservoirs"/>
          <w:p>
            <w:pPr>
              <w:jc w:val="center"/>
            </w:pPr>
            <w:r>
              <w:drawing>
                <wp:inline>
                  <wp:extent cx="5334000" cy="2240280"/>
                  <wp:effectExtent b="0" l="0" r="0" t="0"/>
                  <wp:docPr descr="" title="" id="35" name="Picture"/>
                  <a:graphic>
                    <a:graphicData uri="http://schemas.openxmlformats.org/drawingml/2006/picture">
                      <pic:pic>
                        <pic:nvPicPr>
                          <pic:cNvPr descr="images/reservoirs.png" id="36" name="Picture"/>
                          <pic:cNvPicPr>
                            <a:picLocks noChangeArrowheads="1" noChangeAspect="1"/>
                          </pic:cNvPicPr>
                        </pic:nvPicPr>
                        <pic:blipFill>
                          <a:blip r:embed="rId34"/>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7"/>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8"/>
    <w:bookmarkEnd w:id="39"/>
    <w:bookmarkStart w:id="42" w:name="dataset"/>
    <w:p>
      <w:pPr>
        <w:pStyle w:val="Heading2"/>
      </w:pPr>
      <w:r>
        <w:t xml:space="preserve">Dataset</w:t>
      </w:r>
    </w:p>
    <w:p>
      <w:pPr>
        <w:pStyle w:val="BlockText"/>
      </w:pPr>
      <w:r>
        <w:t xml:space="preserve">All data used in the notebook should be present in the</w:t>
      </w:r>
      <w:r>
        <w:t xml:space="preserve"> </w:t>
      </w:r>
      <w:r>
        <w:rPr>
          <w:rStyle w:val="VerbatimChar"/>
        </w:rPr>
        <w:t xml:space="preserve">data/</w:t>
      </w:r>
      <w:r>
        <w:t xml:space="preserve"> </w:t>
      </w:r>
      <w:r>
        <w:t xml:space="preserve">folder so notebooks may be executed in place with no additional input.</w:t>
      </w:r>
    </w:p>
    <w:p>
      <w:pPr>
        <w:pStyle w:val="FirstParagraph"/>
      </w:pPr>
      <w:r>
        <w:t xml:space="preserve">The earthquake dataset used in our analysis was generated from the</w:t>
      </w:r>
      <w:r>
        <w:t xml:space="preserve"> </w:t>
      </w:r>
      <w:hyperlink r:id="rId40">
        <w:r>
          <w:rPr>
            <w:rStyle w:val="Hyperlink"/>
          </w:rPr>
          <w:t xml:space="preserve">IGN web portal</w:t>
        </w:r>
      </w:hyperlink>
      <w:r>
        <w:t xml:space="preserve"> </w:t>
      </w:r>
      <w:r>
        <w:t xml:space="preserve">this is public data released under a permissive license. Data recorded using the network of</w:t>
      </w:r>
      <w:r>
        <w:t xml:space="preserve"> </w:t>
      </w:r>
      <w:hyperlink w:anchor="stations">
        <w:r>
          <w:rPr>
            <w:rStyle w:val="Hyperlink"/>
          </w:rPr>
          <w:t xml:space="preserve">Seismic Monitoring Stations</w:t>
        </w:r>
      </w:hyperlink>
      <w:r>
        <w:t xml:space="preserve"> </w:t>
      </w:r>
      <w:r>
        <w:t xml:space="preserve">on the island. 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End w:id="42"/>
    <w:bookmarkStart w:id="48" w:name="results"/>
    <w:p>
      <w:pPr>
        <w:pStyle w:val="Heading2"/>
      </w:pPr>
      <w:r>
        <w:t xml:space="preserve">Results</w:t>
      </w:r>
    </w:p>
    <w:p>
      <w:pPr>
        <w:pStyle w:val="FirstParagraph"/>
      </w:pPr>
      <w:r>
        <w:t xml:space="preserve">The dataset was loaded into a Jupyter notebook</w:t>
      </w:r>
      <w:r>
        <w:t xml:space="preserve"> </w:t>
      </w:r>
      <w:hyperlink r:id="rId43">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Pr>
      <w:tblGrid>
        <w:gridCol w:w="7920"/>
      </w:tblGrid>
      <w:tr>
        <w:tc>
          <w:tcPr/>
          <w:bookmarkStart w:id="47" w:name="fig-timeline"/>
          <w:p>
            <w:pPr>
              <w:jc w:val="center"/>
            </w:pPr>
            <w:r>
              <w:drawing>
                <wp:inline>
                  <wp:extent cx="5334000" cy="2671053"/>
                  <wp:effectExtent b="0" l="0" r="0" t="0"/>
                  <wp:docPr descr="" title="" id="45" name="Picture"/>
                  <a:graphic>
                    <a:graphicData uri="http://schemas.openxmlformats.org/drawingml/2006/picture">
                      <pic:pic>
                        <pic:nvPicPr>
                          <pic:cNvPr descr="article_files/figure-docx/fig-timeline-output-1.png" id="46" name="Picture"/>
                          <pic:cNvPicPr>
                            <a:picLocks noChangeArrowheads="1" noChangeAspect="1"/>
                          </pic:cNvPicPr>
                        </pic:nvPicPr>
                        <pic:blipFill>
                          <a:blip r:embed="rId44"/>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w:t>
            </w:r>
          </w:p>
          <w:bookmarkEnd w:id="47"/>
        </w:tc>
      </w:tr>
    </w:tbl>
    <w:p>
      <w:pPr>
        <w:pStyle w:val="BlockText"/>
      </w:pPr>
      <w:r>
        <w:t xml:space="preserve">This figure uses cell output from the Visualization notebook. That cell uses syntax at the top of the code to define a label and caption for the figure. Referencing the label pulls in the output of the cell in this document, and automatically creates links to the source document. You can read more about using the</w:t>
      </w:r>
      <w:r>
        <w:t xml:space="preserve"> </w:t>
      </w:r>
      <w:r>
        <w:rPr>
          <w:rStyle w:val="VerbatimChar"/>
        </w:rPr>
        <w:t xml:space="preserve">embed</w:t>
      </w:r>
      <w:r>
        <w:t xml:space="preserve"> </w:t>
      </w:r>
      <w:r>
        <w:t xml:space="preserve">shortcode and customizing embedded content in the</w:t>
      </w:r>
      <w:r>
        <w:t xml:space="preserve"> </w:t>
      </w:r>
      <w:hyperlink r:id="rId21">
        <w:r>
          <w:rPr>
            <w:rStyle w:val="Hyperlink"/>
          </w:rPr>
          <w:t xml:space="preserve">Quarto documentation</w:t>
        </w:r>
      </w:hyperlink>
      <w:r>
        <w:t xml:space="preserve">.</w:t>
      </w:r>
      <w:r>
        <w:t xml:space="preserve"> </w:t>
      </w:r>
      <w:r>
        <w:t xml:space="preserve">```</w:t>
      </w:r>
    </w:p>
    <w:p>
      <w:pPr>
        <w:pStyle w:val="FirstParagraph"/>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8"/>
    <w:bookmarkStart w:id="49"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9"/>
    <w:bookmarkStart w:id="53" w:name="availability"/>
    <w:p>
      <w:pPr>
        <w:pStyle w:val="Heading2"/>
      </w:pPr>
      <w:r>
        <w:t xml:space="preserve">Availability</w:t>
      </w:r>
    </w:p>
    <w:p>
      <w:pPr>
        <w:pStyle w:val="BlockText"/>
      </w:pPr>
      <w:r>
        <w:t xml:space="preserve">Data availability statement should be specified in a separate block with metadata</w:t>
      </w:r>
      <w:r>
        <w:t xml:space="preserve"> </w:t>
      </w:r>
      <w:r>
        <w:rPr>
          <w:rStyle w:val="VerbatimChar"/>
        </w:rPr>
        <w:t xml:space="preserve">"part": "availability"</w:t>
      </w:r>
      <w:r>
        <w:t xml:space="preserve">, similar to the abstract.</w:t>
      </w:r>
    </w:p>
    <w:p>
      <w:pPr>
        <w:pStyle w:val="BlockText"/>
      </w:pPr>
      <w:r>
        <w:t xml:space="preserve">AGU requires an Availability Statement for the underlying data needed to understand, evaluate, and build upon the reported research at the time of peer review and publication.</w:t>
      </w:r>
    </w:p>
    <w:p>
      <w:pPr>
        <w:pStyle w:val="FirstParagraph"/>
      </w:pPr>
      <w:r>
        <w:t xml:space="preserve">A web scraping script was developed to pull data into a machine-readable form for analysis. That code tool</w:t>
      </w:r>
      <w:r>
        <w:t xml:space="preserve"> </w:t>
      </w:r>
      <w:hyperlink r:id="rId41">
        <w:r>
          <w:rPr>
            <w:rStyle w:val="Hyperlink"/>
          </w:rPr>
          <w:t xml:space="preserve">is available on GitHub</w:t>
        </w:r>
      </w:hyperlink>
      <w:r>
        <w:t xml:space="preserve"> </w:t>
      </w:r>
      <w:r>
        <w:t xml:space="preserve">along with a copy of recently updated data.</w:t>
      </w:r>
    </w:p>
    <w:bookmarkStart w:id="52" w:name="refs"/>
    <w:bookmarkStart w:id="51"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50">
        <w:r>
          <w:rPr>
            <w:rStyle w:val="Hyperlink"/>
          </w:rPr>
          <w:t xml:space="preserve">https://doi.org/10.1186/s13617-019-0085-5</w:t>
        </w:r>
      </w:hyperlink>
      <w:r>
        <w:t xml:space="preserve">.</w:t>
      </w:r>
    </w:p>
    <w:bookmarkEnd w:id="51"/>
    <w:bookmarkEnd w:id="52"/>
    <w:bookmarkEnd w:id="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0"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_rels/footnotes.xml.rels><?xml version="1.0" encoding="UTF-8"?><Relationships xmlns="http://schemas.openxmlformats.org/package/2006/relationships"><Relationship Type="http://schemas.openxmlformats.org/officeDocument/2006/relationships/hyperlink" Id="rId43" Target="./notebooks/visualization-figure-creation-seaborn.ipynb" TargetMode="External" /><Relationship Type="http://schemas.openxmlformats.org/officeDocument/2006/relationships/hyperlink" Id="rId25" Target="https://commons.wikimedia.org/w/index.php?curid=76638603" TargetMode="External" /><Relationship Type="http://schemas.openxmlformats.org/officeDocument/2006/relationships/hyperlink" Id="rId50" Target="https://doi.org/10.1186/s13617-019-0085-5" TargetMode="External" /><Relationship Type="http://schemas.openxmlformats.org/officeDocument/2006/relationships/hyperlink" Id="rId41" Target="https://github.com/stevejpurves/ign-earthquake-data" TargetMode="External" /><Relationship Type="http://schemas.openxmlformats.org/officeDocument/2006/relationships/hyperlink" Id="rId29" Target="https://quarto.org/docs/authoring/cross-references.html#equations" TargetMode="External" /><Relationship Type="http://schemas.openxmlformats.org/officeDocument/2006/relationships/hyperlink" Id="rId20" Target="https://quarto.org/docs/authoring/figures.html" TargetMode="External" /><Relationship Type="http://schemas.openxmlformats.org/officeDocument/2006/relationships/hyperlink" Id="rId33" Target="https://quarto.org/docs/authoring/footnotes-and-citations.html" TargetMode="External" /><Relationship Type="http://schemas.openxmlformats.org/officeDocument/2006/relationships/hyperlink" Id="rId21" Target="https://quarto.org/docs/authoring/notebook-embed.html" TargetMode="External" /><Relationship Type="http://schemas.openxmlformats.org/officeDocument/2006/relationships/hyperlink" Id="rId27" Target="https://quarto.org/docs/authoring/tables.html" TargetMode="External" /><Relationship Type="http://schemas.openxmlformats.org/officeDocument/2006/relationships/hyperlink" Id="rId40" Target="https://www.ign.es/web/resources/volcanologia/tproximos/canaria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2023-05-01T20:41:47Z</dcterms:created>
  <dcterms:modified xsi:type="dcterms:W3CDTF">2023-05-01T20:41:47Z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notebook should begin with a single markdown cell which contains document front matter (such as the title, author data, license, abstract, and more).The abstract should begin with a short description of the problem addressed, briefly describe the new data or analyses, then briefly state the main conclusion(s) and how they are supported, and address any uncertainty.In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date">
    <vt:lpwstr>2022-05-11</vt:lpwstr>
  </property>
  <property fmtid="{D5CDD505-2E9C-101B-9397-08002B2CF9AE}" pid="11" name="draft">
    <vt:lpwstr>False</vt:lpwstr>
  </property>
  <property fmtid="{D5CDD505-2E9C-101B-9397-08002B2CF9AE}" pid="12" name="header-includes">
    <vt:lpwstr/>
  </property>
  <property fmtid="{D5CDD505-2E9C-101B-9397-08002B2CF9AE}" pid="13" name="image">
    <vt:lpwstr>images/la-palma-eruption-2022-paper.png</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cense">
    <vt:lpwstr/>
  </property>
  <property fmtid="{D5CDD505-2E9C-101B-9397-08002B2CF9AE}" pid="19" name="manuscript">
    <vt:lpwstr/>
  </property>
  <property fmtid="{D5CDD505-2E9C-101B-9397-08002B2CF9AE}" pid="20" name="toc-title">
    <vt:lpwstr>Table of contents</vt:lpwstr>
  </property>
</Properties>
</file>